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2"/>
      <w:bookmarkStart w:id="1" w:name="OLE_LINK1"/>
    </w:p>
    <w:p>
      <w:pPr>
        <w:pStyle w:val="46"/>
        <w:jc w:val="center"/>
        <w:rPr>
          <w:rFonts w:ascii="Times New Roman" w:eastAsia="黑体"/>
          <w:color w:val="auto"/>
          <w:sz w:val="36"/>
          <w:szCs w:val="36"/>
        </w:rPr>
      </w:pPr>
      <w:r>
        <w:rPr>
          <w:rFonts w:hint="eastAsia" w:ascii="Times New Roman" w:eastAsia="黑体"/>
          <w:b/>
          <w:color w:val="auto"/>
          <w:sz w:val="44"/>
          <w:szCs w:val="44"/>
          <w:lang w:eastAsia="zh-CN"/>
        </w:rPr>
        <w:t>G353宁福线弋阳曹溪至盘岭段公路改建工程</w:t>
      </w:r>
      <w:r>
        <w:rPr>
          <w:rFonts w:hint="eastAsia" w:ascii="Times New Roman" w:eastAsia="黑体"/>
          <w:b/>
          <w:color w:val="auto"/>
          <w:sz w:val="44"/>
          <w:szCs w:val="44"/>
          <w:lang w:val="en-US" w:eastAsia="zh-CN"/>
        </w:rPr>
        <w:t>绿化</w:t>
      </w:r>
      <w:r>
        <w:rPr>
          <w:rFonts w:hint="eastAsia" w:ascii="Times New Roman" w:eastAsia="黑体"/>
          <w:b/>
          <w:color w:val="auto"/>
          <w:sz w:val="44"/>
          <w:szCs w:val="44"/>
          <w:lang w:eastAsia="zh-CN"/>
        </w:rPr>
        <w:t>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 xml:space="preserve">G353宁福线弋阳曹溪至盘岭段公路改建工程招字【2022】03号 </w:t>
      </w:r>
      <w:r>
        <w:rPr>
          <w:rFonts w:eastAsia="黑体"/>
          <w:bCs/>
          <w:sz w:val="28"/>
          <w:szCs w:val="28"/>
          <w:u w:val="single"/>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hint="eastAsia" w:eastAsia="方正兰亭超细黑简体"/>
          <w:b/>
          <w:sz w:val="32"/>
          <w:szCs w:val="28"/>
          <w:lang w:val="en-US" w:eastAsia="zh-CN"/>
        </w:rPr>
        <w:t>二</w:t>
      </w:r>
      <w:r>
        <w:rPr>
          <w:rFonts w:eastAsia="方正兰亭超细黑简体"/>
          <w:b/>
          <w:sz w:val="32"/>
          <w:szCs w:val="28"/>
          <w:lang w:eastAsia="zh-CN"/>
        </w:rPr>
        <w:t>年</w:t>
      </w:r>
      <w:r>
        <w:rPr>
          <w:rFonts w:hint="eastAsia" w:eastAsia="方正兰亭超细黑简体"/>
          <w:b/>
          <w:sz w:val="32"/>
          <w:szCs w:val="28"/>
          <w:lang w:val="en-US" w:eastAsia="zh-CN"/>
        </w:rPr>
        <w:t>七</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G353宁福线弋阳曹溪至盘岭段公路改建工程绿化劳务工程</w:t>
      </w:r>
      <w:r>
        <w:rPr>
          <w:rFonts w:hint="eastAsia"/>
          <w:sz w:val="24"/>
          <w:szCs w:val="27"/>
          <w:lang w:val="en-US" w:eastAsia="zh-CN"/>
        </w:rPr>
        <w:t>招标文件</w:t>
      </w:r>
      <w:r>
        <w:rPr>
          <w:sz w:val="24"/>
          <w:szCs w:val="27"/>
          <w:lang w:eastAsia="zh-CN"/>
        </w:rPr>
        <w:t>》以相关法律、法规的规定及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bookmarkEnd w:id="0"/>
    <w:bookmarkEnd w:id="1"/>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4"/>
        <w:bidi w:val="0"/>
        <w:jc w:val="center"/>
        <w:rPr>
          <w:lang w:eastAsia="zh-CN"/>
        </w:rPr>
      </w:pPr>
      <w:r>
        <w:rPr>
          <w:rFonts w:hint="eastAsia"/>
          <w:lang w:eastAsia="zh-CN"/>
        </w:rPr>
        <w:t>G353宁福线弋阳曹溪至盘岭段公路改建工程绿化劳务工程招标公告</w:t>
      </w:r>
    </w:p>
    <w:p>
      <w:pPr>
        <w:spacing w:line="500" w:lineRule="exact"/>
        <w:rPr>
          <w:rFonts w:ascii="宋体" w:hAnsi="宋体" w:eastAsia="宋体" w:cs="宋体"/>
          <w:b/>
          <w:bCs/>
          <w:color w:val="000000"/>
          <w:sz w:val="28"/>
          <w:szCs w:val="28"/>
          <w:lang w:eastAsia="zh-CN"/>
        </w:rPr>
      </w:pPr>
      <w:bookmarkStart w:id="3" w:name="_Toc179632528"/>
      <w:bookmarkEnd w:id="3"/>
      <w:bookmarkStart w:id="4" w:name="_Toc152045512"/>
      <w:bookmarkEnd w:id="4"/>
      <w:bookmarkStart w:id="5" w:name="_Toc152042288"/>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G353宁福线弋阳曹溪至盘岭段公路改建工程</w:t>
      </w:r>
      <w:r>
        <w:rPr>
          <w:sz w:val="24"/>
          <w:lang w:eastAsia="zh-CN"/>
        </w:rPr>
        <w:t>，</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79632529"/>
      <w:bookmarkEnd w:id="7"/>
      <w:bookmarkStart w:id="8" w:name="_Toc152045513"/>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hint="eastAsia" w:asciiTheme="majorEastAsia" w:hAnsiTheme="majorEastAsia" w:eastAsiaTheme="majorEastAsia"/>
          <w:sz w:val="24"/>
          <w:szCs w:val="24"/>
          <w:u w:val="single"/>
          <w:lang w:eastAsia="zh-CN"/>
        </w:rPr>
      </w:pPr>
      <w:bookmarkStart w:id="11" w:name="_Toc144974482"/>
      <w:r>
        <w:rPr>
          <w:rFonts w:hint="eastAsia" w:ascii="宋体" w:hAnsi="宋体" w:eastAsia="宋体" w:cs="宋体"/>
          <w:b/>
          <w:color w:val="000000"/>
          <w:sz w:val="24"/>
          <w:lang w:eastAsia="zh-CN"/>
        </w:rPr>
        <w:t>2.1、工程名称：</w:t>
      </w:r>
      <w:r>
        <w:rPr>
          <w:rFonts w:hint="eastAsia" w:asciiTheme="majorEastAsia" w:hAnsiTheme="majorEastAsia" w:eastAsiaTheme="majorEastAsia"/>
          <w:sz w:val="24"/>
          <w:szCs w:val="24"/>
          <w:u w:val="single"/>
          <w:lang w:eastAsia="zh-CN"/>
        </w:rPr>
        <w:t>G353宁福线弋阳曹溪至盘岭段公路改建工程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上饶市弋阳县</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asciiTheme="minorEastAsia" w:hAnsiTheme="minorEastAsia"/>
          <w:sz w:val="24"/>
          <w:szCs w:val="28"/>
          <w:lang w:eastAsia="zh-CN"/>
        </w:rPr>
      </w:pPr>
      <w:r>
        <w:rPr>
          <w:rFonts w:hint="eastAsia" w:asciiTheme="minorEastAsia" w:hAnsiTheme="minorEastAsia"/>
          <w:sz w:val="24"/>
          <w:szCs w:val="28"/>
          <w:lang w:eastAsia="zh-CN"/>
        </w:rPr>
        <w:t>G353宁福线弋阳曹溪至盘岭段公路改建工程，起止桩号K0+007.888至K12+891.141，长约12.88KM，公路等级为公路二级，设计时速为起点至K4+481.89为60km/小时、K4+481.89至终点为40km/小时，含路基、路面、桥梁涵洞，安全设施及预埋管线、绿化工程及其他构造物工程等。</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G353宁福线弋阳曹溪至盘岭段公路改建工程绿化劳务工程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hint="eastAsia" w:ascii="宋体" w:hAnsi="宋体" w:eastAsia="宋体" w:cs="宋体"/>
          <w:b/>
          <w:color w:val="000000"/>
          <w:spacing w:val="4"/>
          <w:sz w:val="24"/>
          <w:szCs w:val="24"/>
          <w:lang w:val="en-US" w:eastAsia="zh-CN"/>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themeColor="text1"/>
          <w:sz w:val="24"/>
          <w:lang w:val="en-US" w:eastAsia="zh-CN"/>
          <w14:textFill>
            <w14:solidFill>
              <w14:schemeClr w14:val="tx1"/>
            </w14:solidFill>
          </w14:textFill>
        </w:rPr>
        <w:t>要求</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达到国家施工验收规范标准合格及以上。</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52042291"/>
      <w:bookmarkEnd w:id="12"/>
      <w:bookmarkStart w:id="13" w:name="_Toc152045515"/>
      <w:bookmarkEnd w:id="13"/>
      <w:bookmarkStart w:id="14" w:name="_Toc179632531"/>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2020年交建集团已有劳务企业分包库调整结果》及《2020年度绿化专业入库企业》名单内。委托代理人必须是上饶市交通建设投资集团有限公司劳务分包企业资源库《2020年交建集团已有劳务企业分包库调整结果》及《2020年度绿化专业入库企业》名单内的备案施工负责人。</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投标人近三年（时间2019年7月1日～2022年7月1日）至少完成过一个以上的同等（合同金额在200万及以上，施工内容含本次招标全部内容）施工业绩。业绩必须提供2种以上（含2种）能证明投标人施工经历的有关证明材料原件（中标通知书、施工合同、交工证书，工程量清单等）。</w:t>
      </w:r>
    </w:p>
    <w:p>
      <w:pPr>
        <w:spacing w:line="500" w:lineRule="exact"/>
        <w:ind w:firstLine="496" w:firstLineChars="200"/>
        <w:rPr>
          <w:rFonts w:hint="eastAsia" w:cs="宋体"/>
          <w:b w:val="0"/>
          <w:bCs/>
          <w:color w:val="000000"/>
          <w:spacing w:val="4"/>
          <w:sz w:val="24"/>
          <w:szCs w:val="24"/>
          <w:lang w:val="en-US" w:eastAsia="zh-CN"/>
        </w:rPr>
      </w:pPr>
      <w:r>
        <w:rPr>
          <w:rFonts w:hint="eastAsia" w:cs="宋体"/>
          <w:b w:val="0"/>
          <w:bCs/>
          <w:color w:val="000000"/>
          <w:spacing w:val="4"/>
          <w:sz w:val="24"/>
          <w:szCs w:val="24"/>
          <w:lang w:val="en-US" w:eastAsia="zh-CN"/>
        </w:rPr>
        <w:t>3.5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招标人不予受理及按废标处理。</w:t>
      </w:r>
    </w:p>
    <w:p>
      <w:pPr>
        <w:spacing w:line="500" w:lineRule="exact"/>
        <w:ind w:firstLine="496" w:firstLineChars="200"/>
        <w:rPr>
          <w:rFonts w:hint="default" w:cs="宋体"/>
          <w:b w:val="0"/>
          <w:bCs/>
          <w:color w:val="000000"/>
          <w:spacing w:val="4"/>
          <w:sz w:val="24"/>
          <w:szCs w:val="24"/>
          <w:lang w:val="en-US" w:eastAsia="zh-CN"/>
        </w:rPr>
      </w:pPr>
      <w:r>
        <w:rPr>
          <w:rFonts w:hint="eastAsia" w:cs="宋体"/>
          <w:b w:val="0"/>
          <w:bCs/>
          <w:color w:val="000000"/>
          <w:spacing w:val="4"/>
          <w:sz w:val="24"/>
          <w:szCs w:val="24"/>
          <w:lang w:val="en-US" w:eastAsia="zh-CN"/>
        </w:rPr>
        <w:t>3.6</w:t>
      </w:r>
      <w:r>
        <w:rPr>
          <w:rFonts w:hint="eastAsia" w:ascii="宋体" w:hAnsi="宋体" w:eastAsia="宋体" w:cs="宋体"/>
          <w:i w:val="0"/>
          <w:iCs w:val="0"/>
          <w:caps w:val="0"/>
          <w:color w:val="333333"/>
          <w:spacing w:val="15"/>
          <w:sz w:val="24"/>
          <w:szCs w:val="24"/>
          <w:shd w:val="clear" w:fill="FFFFFF"/>
        </w:rPr>
        <w:t>法律法规规定的其他条件。</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w:t>
      </w:r>
      <w:r>
        <w:rPr>
          <w:rFonts w:hint="eastAsia" w:ascii="宋体" w:hAnsi="宋体" w:eastAsia="宋体" w:cs="宋体"/>
          <w:color w:val="000000"/>
          <w:sz w:val="24"/>
          <w:lang w:val="en-US" w:eastAsia="zh-CN"/>
        </w:rPr>
        <w:t>后审</w:t>
      </w:r>
      <w:r>
        <w:rPr>
          <w:rFonts w:hint="eastAsia" w:ascii="宋体" w:hAnsi="宋体" w:eastAsia="宋体" w:cs="宋体"/>
          <w:color w:val="000000"/>
          <w:sz w:val="24"/>
          <w:lang w:eastAsia="zh-CN"/>
        </w:rPr>
        <w:t>，纸质评标。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w:t>
      </w:r>
      <w:r>
        <w:rPr>
          <w:rFonts w:hint="eastAsia" w:ascii="宋体" w:hAnsi="宋体" w:eastAsia="宋体" w:cs="Arial"/>
          <w:color w:val="auto"/>
          <w:sz w:val="24"/>
          <w:u w:val="single"/>
          <w:lang w:val="en-US" w:eastAsia="zh-CN"/>
        </w:rPr>
        <w:t>2</w:t>
      </w:r>
      <w:r>
        <w:rPr>
          <w:rFonts w:hint="eastAsia" w:ascii="宋体" w:hAnsi="宋体" w:eastAsia="宋体" w:cs="Arial"/>
          <w:color w:val="auto"/>
          <w:sz w:val="24"/>
          <w:lang w:eastAsia="zh-CN"/>
        </w:rPr>
        <w:t>年</w:t>
      </w:r>
      <w:r>
        <w:rPr>
          <w:rFonts w:hint="eastAsia" w:ascii="宋体" w:hAnsi="宋体" w:eastAsia="宋体" w:cs="Arial"/>
          <w:color w:val="auto"/>
          <w:sz w:val="24"/>
          <w:u w:val="single"/>
          <w:lang w:val="en-US" w:eastAsia="zh-CN"/>
        </w:rPr>
        <w:t>7</w:t>
      </w:r>
      <w:r>
        <w:rPr>
          <w:rFonts w:hint="eastAsia" w:ascii="宋体" w:hAnsi="宋体" w:eastAsia="宋体" w:cs="Arial"/>
          <w:color w:val="auto"/>
          <w:sz w:val="24"/>
          <w:lang w:eastAsia="zh-CN"/>
        </w:rPr>
        <w:t>月</w:t>
      </w:r>
      <w:r>
        <w:rPr>
          <w:rFonts w:hint="eastAsia" w:ascii="宋体" w:hAnsi="宋体" w:cs="Arial"/>
          <w:color w:val="auto"/>
          <w:sz w:val="24"/>
          <w:u w:val="single"/>
          <w:lang w:val="en-US" w:eastAsia="zh-CN"/>
        </w:rPr>
        <w:t>21</w:t>
      </w:r>
      <w:r>
        <w:rPr>
          <w:rFonts w:hint="eastAsia" w:ascii="宋体" w:hAnsi="宋体" w:eastAsia="宋体" w:cs="Arial"/>
          <w:color w:val="auto"/>
          <w:sz w:val="24"/>
          <w:lang w:eastAsia="zh-CN"/>
        </w:rPr>
        <w:t>日</w:t>
      </w:r>
      <w:r>
        <w:rPr>
          <w:rFonts w:hint="eastAsia" w:ascii="宋体" w:hAnsi="宋体" w:cs="Arial"/>
          <w:color w:val="auto"/>
          <w:sz w:val="24"/>
          <w:u w:val="single"/>
          <w:lang w:val="en-US" w:eastAsia="zh-CN"/>
        </w:rPr>
        <w:t>17</w:t>
      </w:r>
      <w:r>
        <w:rPr>
          <w:rFonts w:hint="eastAsia" w:ascii="宋体" w:hAnsi="宋体" w:eastAsia="宋体" w:cs="Arial"/>
          <w:color w:val="auto"/>
          <w:sz w:val="24"/>
          <w:lang w:eastAsia="zh-CN"/>
        </w:rPr>
        <w:t>时</w:t>
      </w:r>
      <w:r>
        <w:rPr>
          <w:rFonts w:hint="eastAsia" w:ascii="宋体" w:hAnsi="宋体" w:cs="Arial"/>
          <w:color w:val="auto"/>
          <w:sz w:val="24"/>
          <w:u w:val="single"/>
          <w:lang w:val="en-US" w:eastAsia="zh-CN"/>
        </w:rPr>
        <w:t>0</w:t>
      </w:r>
      <w:r>
        <w:rPr>
          <w:rFonts w:hint="eastAsia" w:ascii="宋体" w:hAnsi="宋体" w:eastAsia="宋体" w:cs="Arial"/>
          <w:color w:val="auto"/>
          <w:sz w:val="24"/>
          <w:u w:val="single"/>
          <w:lang w:eastAsia="zh-CN"/>
        </w:rPr>
        <w:t>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投标人报名成功后，投标人应在微信群“上饶交建交安绿化机电劳务分包库”上传“投标保证金银行回单+投标人邮箱号码”，招标人当天确认后，将招标文件及相关资料发送至相应投标人邮箱，供投标人下载查阅。</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开标时间：</w:t>
      </w:r>
      <w:r>
        <w:rPr>
          <w:rFonts w:hint="eastAsia" w:ascii="宋体" w:hAnsi="宋体" w:cs="宋体"/>
          <w:color w:val="000000"/>
          <w:sz w:val="24"/>
          <w:szCs w:val="24"/>
          <w:lang w:val="en-US" w:eastAsia="zh-CN"/>
        </w:rPr>
        <w:t>2022年7月22日15：00分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w:t>
      </w:r>
      <w:r>
        <w:rPr>
          <w:rFonts w:hint="eastAsia" w:ascii="宋体" w:hAnsi="宋体" w:cs="宋体"/>
          <w:color w:val="000000"/>
          <w:sz w:val="24"/>
          <w:szCs w:val="24"/>
          <w:lang w:val="en-US" w:eastAsia="zh-CN"/>
        </w:rPr>
        <w:t>上饶市上海公馆15楼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宋体"/>
          <w:bCs/>
          <w:color w:val="auto"/>
          <w:sz w:val="24"/>
          <w:szCs w:val="24"/>
          <w:lang w:val="en-US" w:eastAsia="zh-CN"/>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伍万元整（</w:t>
      </w:r>
      <w:r>
        <w:rPr>
          <w:rFonts w:hint="eastAsia" w:ascii="宋体" w:hAnsi="宋体" w:eastAsia="宋体" w:cs="宋体"/>
          <w:bCs/>
          <w:color w:val="auto"/>
          <w:sz w:val="24"/>
          <w:szCs w:val="24"/>
          <w:highlight w:val="white"/>
          <w:lang w:val="en-US" w:eastAsia="zh-CN"/>
        </w:rPr>
        <w:t>￥</w:t>
      </w:r>
      <w:r>
        <w:rPr>
          <w:rFonts w:hint="eastAsia" w:hAnsi="宋体"/>
          <w:bCs/>
          <w:color w:val="auto"/>
          <w:sz w:val="24"/>
          <w:szCs w:val="24"/>
          <w:highlight w:val="white"/>
          <w:lang w:val="en-US" w:eastAsia="zh-CN"/>
        </w:rPr>
        <w:t>50000）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color w:val="auto"/>
          <w:sz w:val="24"/>
          <w:szCs w:val="24"/>
          <w:highlight w:val="white"/>
          <w:lang w:val="en-US"/>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22</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7</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18</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22</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7</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21</w:t>
      </w:r>
      <w:r>
        <w:rPr>
          <w:rFonts w:hint="eastAsia" w:ascii="宋体" w:hAnsi="宋体" w:cs="宋体"/>
          <w:color w:val="auto"/>
          <w:sz w:val="24"/>
          <w:szCs w:val="24"/>
          <w:lang w:val="zh-CN" w:eastAsia="zh-CN"/>
        </w:rPr>
        <w:t>日</w:t>
      </w:r>
      <w:r>
        <w:rPr>
          <w:rFonts w:hint="eastAsia" w:hAnsi="宋体"/>
          <w:color w:val="auto"/>
          <w:sz w:val="24"/>
          <w:szCs w:val="24"/>
          <w:highlight w:val="white"/>
          <w:lang w:val="en-US" w:eastAsia="zh-CN"/>
        </w:rPr>
        <w:t>17</w:t>
      </w:r>
      <w:r>
        <w:rPr>
          <w:rFonts w:hint="eastAsia" w:hAnsi="宋体"/>
          <w:color w:val="auto"/>
          <w:sz w:val="24"/>
          <w:szCs w:val="24"/>
          <w:highlight w:val="white"/>
          <w:lang w:val="en-US"/>
        </w:rPr>
        <w:t>:</w:t>
      </w:r>
      <w:r>
        <w:rPr>
          <w:rFonts w:hint="eastAsia" w:hAnsi="宋体"/>
          <w:color w:val="auto"/>
          <w:sz w:val="24"/>
          <w:szCs w:val="24"/>
          <w:highlight w:val="white"/>
          <w:lang w:val="en-US" w:eastAsia="zh-CN"/>
        </w:rPr>
        <w:t>00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w:t>
      </w:r>
      <w:r>
        <w:rPr>
          <w:rFonts w:hint="eastAsia"/>
          <w:sz w:val="24"/>
          <w:szCs w:val="24"/>
          <w:u w:val="single"/>
          <w:lang w:val="en-US" w:eastAsia="zh-CN"/>
        </w:rPr>
        <w:t>上海公馆15楼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杨先生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15707080607</w:t>
      </w:r>
      <w:r>
        <w:rPr>
          <w:sz w:val="24"/>
          <w:szCs w:val="24"/>
          <w:u w:val="single"/>
          <w:lang w:eastAsia="zh-CN"/>
        </w:rPr>
        <w:t xml:space="preserve">                  </w:t>
      </w:r>
    </w:p>
    <w:p>
      <w:pPr>
        <w:spacing w:line="500" w:lineRule="exact"/>
        <w:jc w:val="right"/>
        <w:rPr>
          <w:sz w:val="24"/>
          <w:lang w:eastAsia="zh-CN"/>
        </w:rPr>
      </w:pPr>
    </w:p>
    <w:p>
      <w:pPr>
        <w:numPr>
          <w:ilvl w:val="0"/>
          <w:numId w:val="0"/>
        </w:numPr>
        <w:spacing w:line="500" w:lineRule="exact"/>
        <w:jc w:val="both"/>
        <w:rPr>
          <w:sz w:val="24"/>
          <w:lang w:eastAsia="zh-CN"/>
        </w:rPr>
      </w:pPr>
      <w:r>
        <w:rPr>
          <w:sz w:val="24"/>
          <w:lang w:eastAsia="zh-CN"/>
        </w:rPr>
        <w:t xml:space="preserve">                                        </w:t>
      </w:r>
    </w:p>
    <w:p>
      <w:pPr>
        <w:spacing w:line="500" w:lineRule="exact"/>
        <w:jc w:val="right"/>
      </w:pPr>
      <w:r>
        <w:rPr>
          <w:sz w:val="24"/>
          <w:u w:val="single"/>
          <w:lang w:eastAsia="zh-CN"/>
        </w:rPr>
        <w:t>20</w:t>
      </w:r>
      <w:r>
        <w:rPr>
          <w:rFonts w:hint="eastAsia"/>
          <w:sz w:val="24"/>
          <w:u w:val="single"/>
          <w:lang w:eastAsia="zh-CN"/>
        </w:rPr>
        <w:t>2</w:t>
      </w:r>
      <w:r>
        <w:rPr>
          <w:rFonts w:hint="eastAsia"/>
          <w:sz w:val="24"/>
          <w:u w:val="single"/>
          <w:lang w:val="en-US" w:eastAsia="zh-CN"/>
        </w:rPr>
        <w:t>2</w:t>
      </w:r>
      <w:r>
        <w:rPr>
          <w:sz w:val="24"/>
          <w:lang w:eastAsia="zh-CN"/>
        </w:rPr>
        <w:t>年</w:t>
      </w:r>
      <w:r>
        <w:rPr>
          <w:rFonts w:hint="eastAsia"/>
          <w:sz w:val="24"/>
          <w:u w:val="single"/>
          <w:lang w:val="en-US" w:eastAsia="zh-CN"/>
        </w:rPr>
        <w:t>7</w:t>
      </w:r>
      <w:r>
        <w:rPr>
          <w:sz w:val="24"/>
          <w:lang w:eastAsia="zh-CN"/>
        </w:rPr>
        <w:t>月</w:t>
      </w:r>
      <w:r>
        <w:rPr>
          <w:rFonts w:hint="eastAsia"/>
          <w:sz w:val="24"/>
          <w:u w:val="single"/>
          <w:lang w:val="en-US" w:eastAsia="zh-CN"/>
        </w:rPr>
        <w:t>18</w:t>
      </w:r>
      <w:bookmarkStart w:id="72" w:name="_GoBack"/>
      <w:bookmarkEnd w:id="72"/>
      <w:r>
        <w:rPr>
          <w:sz w:val="24"/>
          <w:lang w:eastAsia="zh-CN"/>
        </w:rPr>
        <w:t>日</w:t>
      </w:r>
    </w:p>
    <w:p>
      <w:pPr>
        <w:pStyle w:val="28"/>
        <w:numPr>
          <w:ilvl w:val="0"/>
          <w:numId w:val="0"/>
        </w:numPr>
        <w:tabs>
          <w:tab w:val="left" w:pos="4507"/>
        </w:tabs>
        <w:spacing w:line="520" w:lineRule="exact"/>
        <w:rPr>
          <w:rFonts w:hint="default" w:cs="黑体" w:asciiTheme="minorEastAsia" w:hAnsiTheme="minorEastAsia" w:eastAsiaTheme="minorEastAsia"/>
          <w:w w:val="95"/>
          <w:sz w:val="28"/>
          <w:szCs w:val="28"/>
          <w:lang w:val="en-US" w:eastAsia="zh-CN"/>
        </w:rPr>
      </w:pPr>
      <w:r>
        <w:rPr>
          <w:rFonts w:hint="eastAsia" w:cs="黑体" w:asciiTheme="minorEastAsia" w:hAnsiTheme="minorEastAsia" w:eastAsiaTheme="minorEastAsia"/>
          <w:w w:val="95"/>
          <w:sz w:val="28"/>
          <w:szCs w:val="28"/>
          <w:lang w:val="en-US" w:eastAsia="zh-CN"/>
        </w:rPr>
        <w:t>附件1：招标文件</w:t>
      </w:r>
    </w:p>
    <w:p>
      <w:pPr>
        <w:pStyle w:val="28"/>
        <w:numPr>
          <w:ilvl w:val="0"/>
          <w:numId w:val="0"/>
        </w:numPr>
        <w:tabs>
          <w:tab w:val="left" w:pos="4507"/>
        </w:tabs>
        <w:spacing w:line="520" w:lineRule="exact"/>
        <w:rPr>
          <w:rFonts w:hint="default" w:cs="黑体" w:asciiTheme="minorEastAsia" w:hAnsiTheme="minorEastAsia" w:eastAsiaTheme="minorEastAsia"/>
          <w:w w:val="95"/>
          <w:sz w:val="28"/>
          <w:szCs w:val="28"/>
          <w:lang w:val="en-US" w:eastAsia="zh-CN"/>
        </w:rPr>
      </w:pPr>
      <w:r>
        <w:rPr>
          <w:rFonts w:hint="eastAsia" w:cs="黑体" w:asciiTheme="minorEastAsia" w:hAnsiTheme="minorEastAsia" w:eastAsiaTheme="minorEastAsia"/>
          <w:w w:val="95"/>
          <w:sz w:val="28"/>
          <w:szCs w:val="28"/>
          <w:lang w:val="en-US" w:eastAsia="zh-CN"/>
        </w:rPr>
        <w:t>附件2：工程量清单</w:t>
      </w: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地址：上饶市信州区</w:t>
            </w:r>
            <w:r>
              <w:rPr>
                <w:rFonts w:hint="eastAsia" w:asciiTheme="minorEastAsia" w:hAnsiTheme="minorEastAsia"/>
                <w:sz w:val="21"/>
                <w:szCs w:val="21"/>
                <w:lang w:eastAsia="zh-CN"/>
              </w:rPr>
              <w:t>丰溪路</w:t>
            </w:r>
            <w:r>
              <w:rPr>
                <w:rFonts w:hint="eastAsia" w:asciiTheme="minorEastAsia" w:hAnsiTheme="minorEastAsia"/>
                <w:sz w:val="21"/>
                <w:szCs w:val="21"/>
                <w:lang w:val="en-US" w:eastAsia="zh-CN"/>
              </w:rPr>
              <w:t>28号十楼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杨柳俊杰</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sz w:val="21"/>
                <w:szCs w:val="21"/>
                <w:lang w:val="en-US" w:eastAsia="zh-CN"/>
              </w:rPr>
            </w:pPr>
            <w:r>
              <w:rPr>
                <w:rFonts w:hint="eastAsia" w:asciiTheme="minorEastAsia" w:hAnsiTheme="minorEastAsia"/>
                <w:sz w:val="21"/>
                <w:szCs w:val="21"/>
                <w:lang w:eastAsia="zh-CN"/>
              </w:rPr>
              <w:t>G353宁福线弋阳曹溪至盘岭段公路改建工程绿化劳务工程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上饶市弋阳县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8"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计划工期</w:t>
            </w:r>
            <w:r>
              <w:rPr>
                <w:rFonts w:asciiTheme="minorEastAsia" w:hAnsiTheme="minorEastAsia" w:eastAsiaTheme="minorEastAsia"/>
                <w:color w:val="auto"/>
                <w:sz w:val="21"/>
                <w:szCs w:val="21"/>
              </w:rPr>
              <w:t>：</w:t>
            </w:r>
            <w:r>
              <w:rPr>
                <w:rFonts w:hint="eastAsia" w:asciiTheme="minorEastAsia" w:hAnsiTheme="minorEastAsia" w:eastAsiaTheme="minorEastAsia"/>
                <w:color w:val="FF0000"/>
                <w:sz w:val="21"/>
                <w:szCs w:val="21"/>
                <w:lang w:val="en-US" w:eastAsia="zh-CN"/>
              </w:rPr>
              <w:t>6</w:t>
            </w:r>
            <w:r>
              <w:rPr>
                <w:rFonts w:hint="eastAsia" w:asciiTheme="minorEastAsia" w:hAnsiTheme="minorEastAsia" w:eastAsiaTheme="minorEastAsia"/>
                <w:color w:val="auto"/>
                <w:sz w:val="21"/>
                <w:szCs w:val="21"/>
              </w:rPr>
              <w:t>个月（中标后，以招标人下达开工指令日期为准）</w:t>
            </w:r>
          </w:p>
          <w:p>
            <w:pPr>
              <w:pStyle w:val="46"/>
              <w:spacing w:line="3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缺陷责任期：2年</w:t>
            </w:r>
            <w:r>
              <w:rPr>
                <w:rFonts w:hint="eastAsia" w:asciiTheme="minorEastAsia" w:hAnsiTheme="minorEastAsia" w:eastAsiaTheme="minorEastAsia"/>
                <w:color w:val="auto"/>
                <w:sz w:val="21"/>
                <w:szCs w:val="21"/>
              </w:rPr>
              <w:t>（项目交工验收后两年）</w:t>
            </w:r>
          </w:p>
          <w:p>
            <w:pPr>
              <w:pStyle w:val="46"/>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hint="eastAsia" w:asciiTheme="minorEastAsia" w:hAnsiTheme="minorEastAsia"/>
                <w:sz w:val="21"/>
                <w:szCs w:val="21"/>
                <w:lang w:eastAsia="zh-CN"/>
              </w:rPr>
              <w:t xml:space="preserve">（项目交工验收后五年）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3.1投标人必须在上饶市交通建设投资集团有限公司劳务分包企业资源库《2020年交建集团已有劳务企业分包库调整结果》及《2020年度</w:t>
            </w:r>
            <w:r>
              <w:rPr>
                <w:rFonts w:hint="eastAsia" w:asciiTheme="minorEastAsia" w:hAnsiTheme="minorEastAsia"/>
                <w:sz w:val="21"/>
                <w:szCs w:val="21"/>
                <w:lang w:val="en-US" w:eastAsia="zh-CN"/>
              </w:rPr>
              <w:t>绿化</w:t>
            </w:r>
            <w:r>
              <w:rPr>
                <w:rFonts w:hint="eastAsia" w:asciiTheme="minorEastAsia" w:hAnsiTheme="minorEastAsia"/>
                <w:sz w:val="21"/>
                <w:szCs w:val="21"/>
                <w:lang w:eastAsia="zh-CN"/>
              </w:rPr>
              <w:t>专业入库企业》名单内。委托代理人必须是上饶市交通建设投资集团有限公司劳务分包企业资源库《2020年交建集团已有劳务企业分包库调整结果》及《2020年度</w:t>
            </w:r>
            <w:r>
              <w:rPr>
                <w:rFonts w:hint="eastAsia" w:asciiTheme="minorEastAsia" w:hAnsiTheme="minorEastAsia"/>
                <w:sz w:val="21"/>
                <w:szCs w:val="21"/>
                <w:lang w:val="en-US" w:eastAsia="zh-CN"/>
              </w:rPr>
              <w:t>绿化</w:t>
            </w:r>
            <w:r>
              <w:rPr>
                <w:rFonts w:hint="eastAsia" w:asciiTheme="minorEastAsia" w:hAnsiTheme="minorEastAsia"/>
                <w:sz w:val="21"/>
                <w:szCs w:val="21"/>
                <w:lang w:eastAsia="zh-CN"/>
              </w:rPr>
              <w:t>专业入库企业》名单内的备案施工负责人。</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3.2本项目不接受联合体投标</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3.3投标人开标时需携带企业营业执照原件、资质证书原件、安全生产许可证原件、授权委托书原件、保证金汇款凭证。（采用新的电子证件，提供加盖公章的彩色复印件即可）</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3.4投标人近三年（时间201</w:t>
            </w:r>
            <w:r>
              <w:rPr>
                <w:rFonts w:hint="eastAsia" w:asciiTheme="minorEastAsia" w:hAnsiTheme="minorEastAsia"/>
                <w:sz w:val="21"/>
                <w:szCs w:val="21"/>
                <w:lang w:val="en-US" w:eastAsia="zh-CN"/>
              </w:rPr>
              <w:t>9</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7</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1</w:t>
            </w:r>
            <w:r>
              <w:rPr>
                <w:rFonts w:hint="eastAsia" w:asciiTheme="minorEastAsia" w:hAnsiTheme="minorEastAsia"/>
                <w:sz w:val="21"/>
                <w:szCs w:val="21"/>
                <w:lang w:eastAsia="zh-CN"/>
              </w:rPr>
              <w:t>日～202</w:t>
            </w:r>
            <w:r>
              <w:rPr>
                <w:rFonts w:hint="eastAsia" w:asciiTheme="minorEastAsia" w:hAnsiTheme="minorEastAsia"/>
                <w:sz w:val="21"/>
                <w:szCs w:val="21"/>
                <w:lang w:val="en-US" w:eastAsia="zh-CN"/>
              </w:rPr>
              <w:t>2</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7</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1</w:t>
            </w:r>
            <w:r>
              <w:rPr>
                <w:rFonts w:hint="eastAsia" w:asciiTheme="minorEastAsia" w:hAnsiTheme="minorEastAsia"/>
                <w:sz w:val="21"/>
                <w:szCs w:val="21"/>
                <w:lang w:eastAsia="zh-CN"/>
              </w:rPr>
              <w:t>日）至少完成过一个以上的同等施工业绩。业绩必须提供2种以上（含2种）能证明投标人施工经历的有关证明材料原件（中标通知书、施工合同、交工证书，工程量清单等）。</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3.5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招标人不予受理及按废标处理。</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3.6法律法规规定的其他条件。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tbl>
      <w:tblPr>
        <w:tblStyle w:val="26"/>
        <w:tblpPr w:leftFromText="180" w:rightFromText="180" w:vertAnchor="text" w:horzAnchor="page" w:tblpX="1610" w:tblpY="39"/>
        <w:tblOverlap w:val="never"/>
        <w:tblW w:w="918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本项目要约价为</w:t>
            </w:r>
            <w:r>
              <w:rPr>
                <w:rFonts w:hint="eastAsia"/>
                <w:lang w:val="en-US" w:eastAsia="zh-CN"/>
              </w:rPr>
              <w:t xml:space="preserve"> 2544759</w:t>
            </w:r>
            <w:r>
              <w:rPr>
                <w:rFonts w:hint="eastAsia"/>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b/>
                <w:sz w:val="24"/>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b/>
                <w:sz w:val="24"/>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eastAsiaTheme="minorEastAsia"/>
                <w:sz w:val="21"/>
                <w:lang w:val="en-US" w:eastAsia="zh-CN"/>
              </w:rPr>
            </w:pPr>
            <w:r>
              <w:rPr>
                <w:rFonts w:hint="eastAsia" w:asciiTheme="minorEastAsia" w:hAnsiTheme="minorEastAsia" w:eastAsiaTheme="minorEastAsia"/>
                <w:sz w:val="21"/>
              </w:rPr>
              <w:t>投标保证金金额：</w:t>
            </w:r>
            <w:r>
              <w:rPr>
                <w:rFonts w:hint="eastAsia" w:asciiTheme="minorEastAsia" w:hAnsiTheme="minorEastAsia"/>
                <w:sz w:val="21"/>
                <w:lang w:val="en-US" w:eastAsia="zh-CN"/>
              </w:rPr>
              <w:t>伍万元整</w:t>
            </w:r>
            <w:r>
              <w:rPr>
                <w:rFonts w:hint="eastAsia" w:asciiTheme="minorEastAsia" w:hAnsiTheme="minorEastAsia"/>
                <w:sz w:val="21"/>
                <w:lang w:eastAsia="zh-CN"/>
              </w:rPr>
              <w:t>（</w:t>
            </w:r>
            <w:r>
              <w:rPr>
                <w:rFonts w:hint="eastAsia" w:ascii="宋体" w:hAnsi="宋体" w:eastAsia="宋体" w:cs="宋体"/>
                <w:sz w:val="21"/>
                <w:lang w:eastAsia="zh-CN"/>
              </w:rPr>
              <w:t>￥</w:t>
            </w:r>
            <w:r>
              <w:rPr>
                <w:rFonts w:hint="eastAsia" w:asciiTheme="minorEastAsia" w:hAnsiTheme="minorEastAsia"/>
                <w:sz w:val="21"/>
                <w:lang w:val="en-US" w:eastAsia="zh-CN"/>
              </w:rPr>
              <w:t>50000</w:t>
            </w:r>
            <w:r>
              <w:rPr>
                <w:rFonts w:hint="eastAsia" w:asciiTheme="minorEastAsia" w:hAnsiTheme="minorEastAsia"/>
                <w:sz w:val="21"/>
                <w:lang w:eastAsia="zh-CN"/>
              </w:rPr>
              <w:t>）</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asciiTheme="minorEastAsia" w:hAnsiTheme="minorEastAsia"/>
                <w:b/>
                <w:sz w:val="24"/>
              </w:rPr>
            </w:pPr>
            <w:r>
              <w:rPr>
                <w:rFonts w:hint="eastAsia" w:asciiTheme="minorEastAsia" w:hAnsiTheme="minorEastAsia" w:eastAsiaTheme="minorEastAsia"/>
                <w:b/>
                <w:color w:val="auto"/>
                <w:sz w:val="21"/>
                <w:szCs w:val="21"/>
                <w:lang w:eastAsia="zh-CN"/>
              </w:rPr>
              <w:t>（转账时需备注该项目的项目名称：G353宁福线弋阳曹溪至盘岭段公路改建工程绿化劳务工程，如若因投标人不备注，引起的投标保证金不到账或无法查询，后果由投标人自行负责。）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r>
              <w:rPr>
                <w:rFonts w:hint="eastAsia" w:asciiTheme="minorEastAsia" w:hAnsiTheme="minorEastAsia"/>
                <w:sz w:val="21"/>
                <w:lang w:eastAsia="zh-CN"/>
              </w:rPr>
              <w:t>（各投标单位可在开标时</w:t>
            </w:r>
            <w:r>
              <w:rPr>
                <w:rFonts w:hint="eastAsia" w:asciiTheme="minorEastAsia" w:hAnsiTheme="minorEastAsia"/>
                <w:sz w:val="21"/>
                <w:lang w:val="en-US" w:eastAsia="zh-CN"/>
              </w:rPr>
              <w:t>递交</w:t>
            </w:r>
            <w:r>
              <w:rPr>
                <w:rFonts w:hint="eastAsia" w:asciiTheme="minorEastAsia" w:hAnsiTheme="minorEastAsia"/>
                <w:sz w:val="21"/>
                <w:lang w:eastAsia="zh-CN"/>
              </w:rPr>
              <w:t>本单位的</w:t>
            </w:r>
            <w:r>
              <w:rPr>
                <w:rFonts w:hint="eastAsia" w:asciiTheme="minorEastAsia" w:hAnsiTheme="minorEastAsia"/>
                <w:sz w:val="21"/>
                <w:lang w:val="en-US" w:eastAsia="zh-CN"/>
              </w:rPr>
              <w:t>保证金</w:t>
            </w:r>
            <w:r>
              <w:rPr>
                <w:rFonts w:hint="eastAsia" w:asciiTheme="minorEastAsia" w:hAnsiTheme="minorEastAsia"/>
                <w:sz w:val="21"/>
                <w:lang w:eastAsia="zh-CN"/>
              </w:rPr>
              <w:t>收据，</w:t>
            </w:r>
            <w:r>
              <w:rPr>
                <w:rFonts w:hint="eastAsia" w:asciiTheme="minorEastAsia" w:hAnsiTheme="minorEastAsia"/>
                <w:sz w:val="21"/>
                <w:lang w:val="en-US" w:eastAsia="zh-CN"/>
              </w:rPr>
              <w:t>方便退回投标保证金</w:t>
            </w:r>
            <w:r>
              <w:rPr>
                <w:rFonts w:hint="eastAsia" w:asciiTheme="minorEastAsia" w:hAnsiTheme="minorEastAsia"/>
                <w:sz w:val="21"/>
                <w:lang w:eastAsia="zh-CN"/>
              </w:rPr>
              <w:t>）</w:t>
            </w:r>
          </w:p>
          <w:p>
            <w:pPr>
              <w:pStyle w:val="37"/>
              <w:spacing w:before="14" w:line="400" w:lineRule="exact"/>
              <w:ind w:right="-29"/>
              <w:rPr>
                <w:rFonts w:hint="eastAsia" w:asciiTheme="minorEastAsia" w:hAnsiTheme="minorEastAsia" w:eastAsiaTheme="minorEastAsia"/>
                <w:b/>
                <w:color w:val="auto"/>
                <w:sz w:val="21"/>
                <w:szCs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sz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sz w:val="21"/>
                <w:lang w:eastAsia="zh-CN"/>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sz w:val="21"/>
                <w:lang w:eastAsia="zh-CN"/>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val="en-US" w:eastAsia="zh-CN"/>
              </w:rPr>
              <w:t>装订</w:t>
            </w:r>
            <w:r>
              <w:rPr>
                <w:rFonts w:asciiTheme="minorEastAsia" w:hAnsiTheme="minorEastAsia" w:eastAsiaTheme="minorEastAsia"/>
                <w:color w:val="auto"/>
                <w:sz w:val="21"/>
                <w:szCs w:val="21"/>
              </w:rPr>
              <w:t xml:space="preserve">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eastAsiaTheme="minorEastAsia"/>
                <w:color w:val="auto"/>
                <w:sz w:val="21"/>
                <w:szCs w:val="21"/>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eastAsiaTheme="minorEastAsia"/>
                <w:color w:val="auto"/>
                <w:sz w:val="21"/>
                <w:szCs w:val="21"/>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eastAsiaTheme="minorEastAsia"/>
                <w:color w:val="auto"/>
                <w:sz w:val="21"/>
                <w:szCs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b/>
                <w:sz w:val="24"/>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b/>
                <w:sz w:val="24"/>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b/>
                <w:sz w:val="24"/>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4"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szCs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szCs w:val="21"/>
                <w:lang w:eastAsia="zh-CN"/>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上饶京宝路桥工程有限公司</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keepNext w:val="0"/>
              <w:keepLines w:val="0"/>
              <w:pageBreakBefore w:val="0"/>
              <w:widowControl w:val="0"/>
              <w:tabs>
                <w:tab w:val="left" w:pos="671"/>
              </w:tabs>
              <w:kinsoku/>
              <w:wordWrap/>
              <w:overflowPunct/>
              <w:topLinePunct w:val="0"/>
              <w:autoSpaceDE/>
              <w:autoSpaceDN/>
              <w:bidi w:val="0"/>
              <w:adjustRightInd/>
              <w:snapToGrid/>
              <w:spacing w:line="360" w:lineRule="auto"/>
              <w:textAlignment w:val="auto"/>
              <w:rPr>
                <w:rFonts w:asciiTheme="minorEastAsia" w:hAnsiTheme="minorEastAsia"/>
                <w:spacing w:val="-13"/>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1天</w:t>
            </w:r>
            <w:r>
              <w:rPr>
                <w:rFonts w:hint="eastAsia" w:asciiTheme="minorEastAsia" w:hAnsiTheme="minorEastAsia"/>
                <w:spacing w:val="-37"/>
                <w:sz w:val="21"/>
                <w:szCs w:val="21"/>
                <w:lang w:val="en-US" w:eastAsia="zh-CN"/>
              </w:rPr>
              <w:t xml:space="preserve">  </w:t>
            </w:r>
            <w:r>
              <w:rPr>
                <w:rFonts w:hint="eastAsia" w:asciiTheme="minorEastAsia" w:hAnsiTheme="minorEastAsia"/>
                <w:spacing w:val="-37"/>
                <w:sz w:val="21"/>
                <w:szCs w:val="21"/>
                <w:lang w:eastAsia="zh-CN"/>
              </w:rPr>
              <w:t>前</w:t>
            </w:r>
            <w:r>
              <w:rPr>
                <w:rFonts w:hint="eastAsia" w:asciiTheme="minorEastAsia" w:hAnsiTheme="minorEastAsia"/>
                <w:spacing w:val="-37"/>
                <w:sz w:val="21"/>
                <w:szCs w:val="21"/>
                <w:lang w:val="en-US" w:eastAsia="zh-CN"/>
              </w:rPr>
              <w:t xml:space="preserve">  </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7"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w:t>
            </w:r>
            <w:r>
              <w:rPr>
                <w:rFonts w:hint="eastAsia" w:asciiTheme="minorEastAsia" w:hAnsiTheme="minorEastAsia"/>
                <w:sz w:val="21"/>
                <w:szCs w:val="21"/>
                <w:lang w:eastAsia="zh-CN"/>
              </w:rPr>
              <w:t>202</w:t>
            </w:r>
            <w:r>
              <w:rPr>
                <w:rFonts w:hint="eastAsia" w:asciiTheme="minorEastAsia" w:hAnsiTheme="minorEastAsia"/>
                <w:sz w:val="21"/>
                <w:szCs w:val="21"/>
                <w:lang w:val="en-US" w:eastAsia="zh-CN"/>
              </w:rPr>
              <w:t>2</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7</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22</w:t>
            </w:r>
            <w:r>
              <w:rPr>
                <w:rFonts w:hint="eastAsia" w:asciiTheme="minorEastAsia" w:hAnsiTheme="minorEastAsia"/>
                <w:sz w:val="21"/>
                <w:szCs w:val="21"/>
                <w:lang w:eastAsia="zh-CN"/>
              </w:rPr>
              <w:t>日1</w:t>
            </w:r>
            <w:r>
              <w:rPr>
                <w:rFonts w:hint="eastAsia" w:asciiTheme="minorEastAsia" w:hAnsiTheme="minorEastAsia"/>
                <w:sz w:val="21"/>
                <w:szCs w:val="21"/>
                <w:lang w:val="en-US" w:eastAsia="zh-CN"/>
              </w:rPr>
              <w:t>5</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0</w:t>
            </w:r>
            <w:r>
              <w:rPr>
                <w:rFonts w:hint="eastAsia" w:asciiTheme="minorEastAsia" w:hAnsiTheme="minorEastAsia"/>
                <w:sz w:val="21"/>
                <w:szCs w:val="21"/>
                <w:lang w:eastAsia="zh-CN"/>
              </w:rPr>
              <w:t>0分</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eastAsia="Times New Roman" w:cs="Times New Roman"/>
          <w:sz w:val="2"/>
          <w:szCs w:val="2"/>
          <w:lang w:eastAsia="zh-CN"/>
        </w:rPr>
      </w:pPr>
    </w:p>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①、招标人将已递交投标文件的投标人按递交标书顺序随机编号</w:t>
            </w:r>
            <w:r>
              <w:rPr>
                <w:rFonts w:asciiTheme="minorEastAsia" w:hAnsiTheme="minorEastAsia"/>
                <w:sz w:val="21"/>
                <w:szCs w:val="21"/>
                <w:lang w:eastAsia="zh-CN" w:bidi="zh-CN"/>
              </w:rPr>
              <w:t>。当递交投标文件的投标人超过30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leftChars="0" w:right="358" w:rightChars="0"/>
              <w:jc w:val="center"/>
              <w:rPr>
                <w:rFonts w:ascii="Times New Roman"/>
                <w:sz w:val="21"/>
                <w:szCs w:val="21"/>
              </w:rPr>
            </w:pPr>
            <w:r>
              <w:rPr>
                <w:rFonts w:hint="eastAsia" w:asciiTheme="minorEastAsia" w:hAnsiTheme="minorEastAsia"/>
                <w:b/>
                <w:sz w:val="21"/>
                <w:lang w:val="en-US" w:eastAsia="zh-CN"/>
              </w:rPr>
              <w:t>5</w:t>
            </w:r>
          </w:p>
        </w:tc>
        <w:tc>
          <w:tcPr>
            <w:tcW w:w="8066" w:type="dxa"/>
            <w:gridSpan w:val="2"/>
            <w:tcBorders>
              <w:top w:val="single" w:color="000000" w:sz="6" w:space="0"/>
              <w:left w:val="single" w:color="000000" w:sz="6" w:space="0"/>
              <w:bottom w:val="single" w:color="000000" w:sz="6" w:space="0"/>
            </w:tcBorders>
            <w:vAlign w:val="top"/>
          </w:tcPr>
          <w:p>
            <w:pPr>
              <w:pStyle w:val="37"/>
              <w:spacing w:line="400" w:lineRule="exact"/>
              <w:ind w:firstLine="420" w:firstLineChars="200"/>
              <w:rPr>
                <w:rFonts w:ascii="Times New Roman"/>
                <w:sz w:val="21"/>
                <w:szCs w:val="21"/>
                <w:lang w:eastAsia="zh-CN"/>
              </w:rPr>
            </w:pPr>
            <w:r>
              <w:rPr>
                <w:rFonts w:hint="eastAsia"/>
                <w:sz w:val="21"/>
                <w:szCs w:val="21"/>
                <w:lang w:eastAsia="zh-CN"/>
              </w:rPr>
              <w:t>根据《上饶市交通建设投资集团有限公司劳务分包补充管理制度（试行）》第四章 劳务分包策划和招标投标管理办法第十九条 选定原则 （2）单个招标段第一次招标时，招标文件应对单个招标段落有效投标人少于三家时的处理方法进行明确。有效投标人少于三家的，可以继续开标。（3）单个项目多个标段集中招标，第一次招标时投标报名的劳务分包单位数量应不小于N个（N为拟选用队伍数量，N</w:t>
            </w:r>
            <w:r>
              <w:rPr>
                <w:rFonts w:hint="eastAsia" w:ascii="楷体" w:hAnsi="楷体" w:eastAsia="楷体"/>
                <w:sz w:val="21"/>
                <w:szCs w:val="21"/>
                <w:lang w:eastAsia="zh-CN"/>
              </w:rPr>
              <w:t>≥</w:t>
            </w:r>
            <w:r>
              <w:rPr>
                <w:rFonts w:hint="eastAsia"/>
                <w:sz w:val="21"/>
                <w:szCs w:val="21"/>
                <w:lang w:eastAsia="zh-CN"/>
              </w:rPr>
              <w:t>2）,否则招标无效。</w:t>
            </w:r>
            <w:r>
              <w:rPr>
                <w:rFonts w:hint="eastAsia" w:asciiTheme="minorEastAsia" w:hAnsiTheme="minorEastAsia"/>
                <w:sz w:val="21"/>
                <w:szCs w:val="21"/>
                <w:lang w:eastAsia="zh-CN"/>
              </w:rPr>
              <w:t>【</w:t>
            </w:r>
            <w:r>
              <w:rPr>
                <w:rFonts w:hint="eastAsia" w:ascii="Times New Roman"/>
                <w:b/>
                <w:sz w:val="21"/>
                <w:szCs w:val="21"/>
                <w:lang w:eastAsia="zh-CN"/>
              </w:rPr>
              <w:t>本次招标如投标人少于3家达到2家的投标人进行开标、评标。只有1家的由招标人确定或不确定中标人。</w:t>
            </w:r>
            <w:r>
              <w:rPr>
                <w:rFonts w:hint="eastAsia" w:ascii="宋体" w:hAnsi="宋体" w:eastAsia="宋体"/>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leftChars="0" w:right="358" w:rightChars="0"/>
              <w:jc w:val="center"/>
              <w:rPr>
                <w:rFonts w:hint="eastAsia" w:ascii="Times New Roman" w:hAnsiTheme="minorHAnsi" w:eastAsiaTheme="minorEastAsia" w:cstheme="minorBidi"/>
                <w:sz w:val="21"/>
                <w:szCs w:val="21"/>
                <w:lang w:val="en-US" w:eastAsia="zh-CN" w:bidi="ar-SA"/>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vAlign w:val="top"/>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投标人资格要求中的原件和</w:t>
            </w: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、项目实施工程中，承包人自觉接受项目主管部门的监督管理，遵守并执行项目主管部门及业主单位的相关规章制度。</w:t>
            </w:r>
          </w:p>
          <w:p>
            <w:pPr>
              <w:pStyle w:val="37"/>
              <w:spacing w:line="400" w:lineRule="exact"/>
              <w:ind w:firstLine="420" w:firstLineChars="200"/>
              <w:rPr>
                <w:rFonts w:hint="eastAsia" w:ascii="Times New Roman" w:hAnsiTheme="minorHAnsi" w:eastAsiaTheme="minorEastAsia" w:cstheme="minorBidi"/>
                <w:sz w:val="21"/>
                <w:szCs w:val="21"/>
                <w:lang w:val="en-US" w:eastAsia="zh-CN" w:bidi="ar-SA"/>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4_投标保证金"/>
      <w:bookmarkEnd w:id="33"/>
      <w:bookmarkStart w:id="34" w:name="3.3_投标有效期"/>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8._重新招标和不再招标"/>
      <w:bookmarkEnd w:id="44"/>
      <w:bookmarkStart w:id="45" w:name="9._纪律和监督"/>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color w:val="FF0000"/>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w:t>
      </w:r>
      <w:r>
        <w:rPr>
          <w:rFonts w:hint="eastAsia" w:cs="宋体"/>
          <w:color w:val="000000" w:themeColor="text1"/>
          <w:highlight w:val="white"/>
          <w:lang w:eastAsia="zh-CN"/>
          <w14:textFill>
            <w14:solidFill>
              <w14:schemeClr w14:val="tx1"/>
            </w14:solidFill>
          </w14:textFill>
        </w:rPr>
        <w:t>标信息更新，以保证能及时下载招标文件的澄清或修改等信息。特别需要说明的是，招标人收到投标保证金当天，招标人的各项通知、文件均发至投标人邮箱，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460" w:lineRule="exact"/>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2" w:name="附表二：开标记录表"/>
      <w:bookmarkEnd w:id="52"/>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3" w:name="附表三：问题澄清通知"/>
      <w:bookmarkEnd w:id="53"/>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4" w:name="附表四：问题的澄清"/>
      <w:bookmarkEnd w:id="54"/>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5" w:name="第三章_评标办法（报价承诺法(单信封形式)）"/>
      <w:bookmarkEnd w:id="55"/>
      <w:r>
        <w:rPr>
          <w:rFonts w:ascii="宋体" w:hAnsi="宋体" w:eastAsia="宋体" w:cs="宋体"/>
          <w:b/>
          <w:bCs/>
          <w:w w:val="95"/>
          <w:sz w:val="36"/>
          <w:szCs w:val="36"/>
          <w:lang w:eastAsia="zh-CN"/>
        </w:rPr>
        <w:t>评标办法报价承诺法</w:t>
      </w:r>
      <w:bookmarkStart w:id="56" w:name="评标办法前附表"/>
      <w:bookmarkEnd w:id="56"/>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7" w:name="1._评标方法"/>
            <w:bookmarkEnd w:id="57"/>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58" w:name="2._评审标准"/>
      <w:bookmarkEnd w:id="58"/>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59" w:name="3._评标程序"/>
      <w:bookmarkEnd w:id="59"/>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60" w:name="附件四__其他管理和技术人员最低要求"/>
      <w:bookmarkEnd w:id="60"/>
      <w:bookmarkStart w:id="61" w:name="附件六_项目经理委任书"/>
      <w:bookmarkEnd w:id="61"/>
      <w:bookmarkStart w:id="62" w:name="第_五_章__工程量清单"/>
      <w:bookmarkEnd w:id="62"/>
      <w:bookmarkStart w:id="63" w:name="附件八_工程资金监管协议格式"/>
      <w:bookmarkEnd w:id="63"/>
      <w:bookmarkStart w:id="64" w:name="第三节__合同附件格式"/>
      <w:bookmarkEnd w:id="64"/>
      <w:bookmarkStart w:id="65" w:name="附件一_合同协议书"/>
      <w:bookmarkEnd w:id="65"/>
      <w:bookmarkStart w:id="66" w:name="第一节__通用合同条款"/>
      <w:bookmarkEnd w:id="66"/>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7" w:name="第九章投标文件格式"/>
      <w:bookmarkEnd w:id="67"/>
      <w:bookmarkStart w:id="68" w:name="C、项目专用技术规范"/>
      <w:bookmarkEnd w:id="68"/>
      <w:bookmarkStart w:id="69" w:name="A、通用技术规范"/>
      <w:bookmarkEnd w:id="69"/>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lang w:eastAsia="zh-CN"/>
        </w:rPr>
      </w:pPr>
      <w:r>
        <w:rPr>
          <w:rFonts w:hint="eastAsia"/>
          <w:lang w:val="en-US" w:eastAsia="zh-CN"/>
        </w:rPr>
        <w:t>四</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五</w:t>
      </w:r>
      <w:r>
        <w:rPr>
          <w:rFonts w:hint="eastAsia"/>
          <w:bCs/>
          <w:color w:val="000000" w:themeColor="text1"/>
          <w:lang w:eastAsia="zh-CN"/>
          <w14:textFill>
            <w14:solidFill>
              <w14:schemeClr w14:val="tx1"/>
            </w14:solidFill>
          </w14:textFill>
        </w:rPr>
        <w:t>、</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val="en-US" w:eastAsia="zh-CN"/>
        </w:rPr>
        <w:t>六</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0" w:name="一、投标函及投标函附录"/>
      <w:bookmarkEnd w:id="70"/>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10"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lang w:eastAsia="zh-CN"/>
              </w:rPr>
              <w:t>进度付款证书最低限额</w:t>
            </w:r>
            <w:r>
              <w:rPr>
                <w:u w:val="single"/>
                <w:lang w:eastAsia="zh-CN"/>
              </w:rPr>
              <w:t>不限</w:t>
            </w:r>
            <w:r>
              <w:rPr>
                <w:rFonts w:hint="eastAsia"/>
                <w:lang w:eastAsia="zh-CN"/>
              </w:rPr>
              <w:t>，进度款</w:t>
            </w:r>
            <w:r>
              <w:rPr>
                <w:rFonts w:hint="eastAsia" w:ascii="宋体" w:hAnsi="宋体"/>
                <w:lang w:eastAsia="zh-CN"/>
              </w:rPr>
              <w:t>付款原则：1.根据工程完成情况按业主、监理验收认可的工程量按月予以预结算，业主计量款到位后，开具专用增值税税票后</w:t>
            </w:r>
            <w:r>
              <w:rPr>
                <w:rFonts w:hint="eastAsia" w:ascii="宋体" w:hAnsi="宋体"/>
                <w:u w:val="single"/>
                <w:lang w:eastAsia="zh-CN"/>
              </w:rPr>
              <w:t>7</w:t>
            </w:r>
            <w:r>
              <w:rPr>
                <w:rFonts w:hint="eastAsia" w:ascii="宋体" w:hAnsi="宋体"/>
                <w:lang w:eastAsia="zh-CN"/>
              </w:rPr>
              <w:t>个有效工作日内支付，付款总额不超过结算总额的</w:t>
            </w:r>
            <w:r>
              <w:rPr>
                <w:rFonts w:hint="eastAsia" w:ascii="宋体" w:hAnsi="宋体"/>
                <w:u w:val="single"/>
                <w:lang w:eastAsia="zh-CN"/>
              </w:rPr>
              <w:t xml:space="preserve"> 70 </w:t>
            </w:r>
            <w:r>
              <w:rPr>
                <w:rFonts w:hint="eastAsia" w:ascii="宋体" w:hAnsi="宋体"/>
                <w:lang w:eastAsia="zh-CN"/>
              </w:rPr>
              <w:t>％；2.完工后支付相应工程量计量款不超过结算总额的</w:t>
            </w:r>
            <w:r>
              <w:rPr>
                <w:rFonts w:hint="eastAsia" w:ascii="宋体" w:hAnsi="宋体"/>
                <w:u w:val="single"/>
                <w:lang w:eastAsia="zh-CN"/>
              </w:rPr>
              <w:t xml:space="preserve">  80  </w:t>
            </w:r>
            <w:r>
              <w:rPr>
                <w:rFonts w:hint="eastAsia" w:ascii="宋体" w:hAnsi="宋体"/>
                <w:lang w:eastAsia="zh-CN"/>
              </w:rPr>
              <w:t>％；3.本项目交工验收后，支付的工程量计量款不超过结算总额的</w:t>
            </w:r>
            <w:r>
              <w:rPr>
                <w:rFonts w:hint="eastAsia" w:ascii="宋体" w:hAnsi="宋体"/>
                <w:u w:val="single"/>
                <w:lang w:eastAsia="zh-CN"/>
              </w:rPr>
              <w:t xml:space="preserve"> 90 </w:t>
            </w:r>
            <w:r>
              <w:rPr>
                <w:rFonts w:hint="eastAsia" w:ascii="宋体" w:hAnsi="宋体"/>
                <w:lang w:eastAsia="zh-CN"/>
              </w:rPr>
              <w:t>％；4、交工验收后两年内支付的工程量计量款不超过结算总额的</w:t>
            </w:r>
            <w:r>
              <w:rPr>
                <w:rFonts w:hint="eastAsia" w:ascii="宋体" w:hAnsi="宋体"/>
                <w:u w:val="single"/>
                <w:lang w:eastAsia="zh-CN"/>
              </w:rPr>
              <w:t xml:space="preserve"> 97 </w:t>
            </w:r>
            <w:r>
              <w:rPr>
                <w:rFonts w:hint="eastAsia" w:ascii="宋体" w:hAnsi="宋体"/>
                <w:lang w:eastAsia="zh-CN"/>
              </w:rPr>
              <w:t>％</w:t>
            </w:r>
            <w:r>
              <w:rPr>
                <w:rFonts w:hint="eastAsia"/>
                <w:lang w:eastAsia="zh-CN"/>
              </w:rPr>
              <w:t>（暂定）且不超过业主支付给甲方计量款的支付比例</w:t>
            </w:r>
            <w:r>
              <w:rPr>
                <w:rFonts w:hint="eastAsia" w:ascii="宋体" w:hAnsi="宋体"/>
                <w:lang w:eastAsia="zh-CN"/>
              </w:rPr>
              <w:t>;5.乙方须无条件接受业主方的审计结果。</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rPr>
              <w:t>3</w:t>
            </w:r>
            <w:r>
              <w:rPr>
                <w:rFonts w:ascii="Times New Roman"/>
                <w:color w:val="auto"/>
                <w:sz w:val="21"/>
                <w:szCs w:val="21"/>
              </w:rPr>
              <w:t xml:space="preserve">% </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val="en-US" w:eastAsia="zh-CN"/>
              </w:rPr>
              <w:t>+</w:t>
            </w:r>
            <w:r>
              <w:rPr>
                <w:color w:val="FF0000"/>
                <w:lang w:eastAsia="zh-CN"/>
              </w:rPr>
              <w:t>）</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1" w:name="三、投标保证金"/>
      <w:bookmarkEnd w:id="71"/>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val="en-US" w:eastAsia="zh-CN"/>
        </w:rPr>
        <w:t>四</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w:t>
      </w:r>
      <w:r>
        <w:rPr>
          <w:rFonts w:hint="eastAsia" w:ascii="宋体" w:hAnsi="宋体" w:eastAsia="宋体" w:cs="宋体"/>
          <w:color w:val="auto"/>
          <w:sz w:val="24"/>
          <w:szCs w:val="24"/>
          <w:lang w:val="en-US" w:eastAsia="zh-CN"/>
        </w:rPr>
        <w:t>详</w:t>
      </w:r>
      <w:r>
        <w:rPr>
          <w:rFonts w:ascii="宋体" w:hAnsi="宋体" w:eastAsia="宋体" w:cs="宋体"/>
          <w:color w:val="auto"/>
          <w:sz w:val="24"/>
          <w:szCs w:val="24"/>
          <w:lang w:eastAsia="zh-CN"/>
        </w:rPr>
        <w:t>尽的了解，决定参与贵公司中标施工的</w:t>
      </w:r>
      <w:r>
        <w:rPr>
          <w:rFonts w:hint="eastAsia" w:ascii="宋体" w:hAnsi="宋体" w:eastAsia="宋体" w:cs="宋体"/>
          <w:color w:val="auto"/>
          <w:sz w:val="24"/>
          <w:szCs w:val="24"/>
          <w:u w:val="single"/>
          <w:lang w:val="en-US" w:eastAsia="zh-CN"/>
        </w:rPr>
        <w:t>G353宁福线弋阳曹溪至盘岭段公路改建工程照明、监控、交安等劳务工程</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w:t>
      </w:r>
      <w:r>
        <w:rPr>
          <w:rFonts w:hint="eastAsia" w:ascii="宋体" w:hAnsi="宋体" w:eastAsia="宋体" w:cs="Times New Roman"/>
          <w:color w:val="auto"/>
          <w:sz w:val="24"/>
          <w:szCs w:val="24"/>
          <w:lang w:val="en-US" w:eastAsia="zh-CN"/>
        </w:rPr>
        <w:t>详细</w:t>
      </w:r>
      <w:r>
        <w:rPr>
          <w:rFonts w:ascii="宋体" w:hAnsi="宋体" w:eastAsia="宋体" w:cs="Times New Roman"/>
          <w:color w:val="auto"/>
          <w:sz w:val="24"/>
          <w:szCs w:val="24"/>
          <w:lang w:eastAsia="zh-CN"/>
        </w:rPr>
        <w:t>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hint="eastAsia" w:ascii="宋体" w:hAnsi="宋体"/>
          <w:sz w:val="24"/>
          <w:szCs w:val="24"/>
          <w:lang w:eastAsia="zh-CN"/>
        </w:rPr>
      </w:pPr>
      <w:r>
        <w:rPr>
          <w:rFonts w:hint="eastAsia" w:ascii="宋体" w:hAnsi="宋体"/>
          <w:color w:val="auto"/>
          <w:sz w:val="24"/>
          <w:szCs w:val="24"/>
          <w:lang w:eastAsia="zh-CN"/>
        </w:rPr>
        <w:t>1、</w:t>
      </w:r>
      <w:r>
        <w:rPr>
          <w:rFonts w:hint="eastAsia" w:ascii="宋体" w:hAnsi="宋体"/>
          <w:sz w:val="24"/>
          <w:szCs w:val="24"/>
          <w:lang w:eastAsia="zh-CN"/>
        </w:rPr>
        <w:t>保证到场的施工负责人是“上饶市交通建设投资集团有限公司劳务分包企业资源库《2020年交建集团已有劳务企业分包库调整结果》及《2020年度机电专业入库企业》名单”内的施工负责人，如我方提供的施工负责人不是“上饶市交通建设投资集团有限公司劳务分包企业资源库《2020年交建集团已有劳务企业分包库调整结果》及《2020年度机电专业入库企业》名单”内的施工负责人，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2、若我方无法按照贵方要求达到计划任务的，</w:t>
      </w:r>
      <w:r>
        <w:rPr>
          <w:rFonts w:hint="eastAsia" w:ascii="宋体" w:hAnsi="宋体" w:eastAsia="宋体" w:cs="Times New Roman"/>
          <w:color w:val="auto"/>
          <w:sz w:val="24"/>
          <w:szCs w:val="24"/>
          <w:lang w:eastAsia="zh-CN"/>
        </w:rPr>
        <w:t>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w:t>
      </w:r>
      <w:r>
        <w:rPr>
          <w:rFonts w:hint="eastAsia" w:ascii="宋体" w:hAnsi="宋体" w:eastAsia="宋体" w:cs="Times New Roman"/>
          <w:color w:val="auto"/>
          <w:sz w:val="24"/>
          <w:szCs w:val="24"/>
          <w:lang w:eastAsia="zh-CN"/>
        </w:rPr>
        <w:t>与我方单价相同，其费用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color w:val="auto"/>
          <w:sz w:val="28"/>
          <w:szCs w:val="28"/>
          <w:lang w:eastAsia="zh-CN"/>
        </w:rPr>
      </w:pPr>
      <w:r>
        <w:rPr>
          <w:color w:val="auto"/>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五</w:t>
      </w:r>
      <w:r>
        <w:rPr>
          <w:rFonts w:hint="eastAsia" w:ascii="宋体" w:hAnsi="宋体" w:eastAsia="宋体" w:cs="宋体"/>
          <w:b/>
          <w:sz w:val="30"/>
          <w:szCs w:val="30"/>
          <w:lang w:eastAsia="zh-CN"/>
        </w:rPr>
        <w:t>、其他材料</w:t>
      </w:r>
    </w:p>
    <w:p>
      <w:pPr>
        <w:pStyle w:val="10"/>
        <w:tabs>
          <w:tab w:val="left" w:pos="5579"/>
          <w:tab w:val="left" w:pos="6879"/>
          <w:tab w:val="left" w:pos="8042"/>
        </w:tabs>
        <w:spacing w:before="0"/>
        <w:ind w:left="4740"/>
        <w:rPr>
          <w:lang w:eastAsia="zh-CN"/>
        </w:rPr>
      </w:pP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（营业执照、资质证书、安全生产许可证、施工业绩等应放材料）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六</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超细黑简体">
    <w:altName w:val="黑体"/>
    <w:panose1 w:val="02000000000000000000"/>
    <w:charset w:val="86"/>
    <w:family w:val="auto"/>
    <w:pitch w:val="default"/>
    <w:sig w:usb0="00000000" w:usb1="0000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0000012" w:usb3="00000000" w:csb0="4002009F" w:csb1="DFD70000"/>
  </w:font>
  <w:font w:name="楷体">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MGM3NzUyOWExOTQ4NDg5MzM4NTVmYzc5Y2NhYTcifQ=="/>
  </w:docVars>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12E1392"/>
    <w:rsid w:val="022C3FA0"/>
    <w:rsid w:val="02CE6223"/>
    <w:rsid w:val="02E03296"/>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9CB6BFD"/>
    <w:rsid w:val="0A7120F5"/>
    <w:rsid w:val="0B9C152A"/>
    <w:rsid w:val="0BDF6A71"/>
    <w:rsid w:val="0C2223C9"/>
    <w:rsid w:val="0CA43B62"/>
    <w:rsid w:val="0CAD089E"/>
    <w:rsid w:val="0D940528"/>
    <w:rsid w:val="0DF864CE"/>
    <w:rsid w:val="0E0651E4"/>
    <w:rsid w:val="0F5B20FB"/>
    <w:rsid w:val="0F6D21D1"/>
    <w:rsid w:val="0FBF17C3"/>
    <w:rsid w:val="0FF27549"/>
    <w:rsid w:val="0FF71383"/>
    <w:rsid w:val="100877EA"/>
    <w:rsid w:val="118B3599"/>
    <w:rsid w:val="11E5231E"/>
    <w:rsid w:val="12A825BD"/>
    <w:rsid w:val="13256781"/>
    <w:rsid w:val="1366288C"/>
    <w:rsid w:val="137A0F61"/>
    <w:rsid w:val="13F105D4"/>
    <w:rsid w:val="140246A6"/>
    <w:rsid w:val="144350DE"/>
    <w:rsid w:val="145D6466"/>
    <w:rsid w:val="14937898"/>
    <w:rsid w:val="1498074E"/>
    <w:rsid w:val="15CA4C64"/>
    <w:rsid w:val="16112AB6"/>
    <w:rsid w:val="16866F2D"/>
    <w:rsid w:val="16A20717"/>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526EE4"/>
    <w:rsid w:val="1A9877C8"/>
    <w:rsid w:val="1CD3763A"/>
    <w:rsid w:val="1D1923C0"/>
    <w:rsid w:val="1D207A8A"/>
    <w:rsid w:val="1D52082B"/>
    <w:rsid w:val="1D7E1A1A"/>
    <w:rsid w:val="1E6B738D"/>
    <w:rsid w:val="1F1C7CBA"/>
    <w:rsid w:val="1F5D5EDC"/>
    <w:rsid w:val="205346B7"/>
    <w:rsid w:val="20DC515D"/>
    <w:rsid w:val="21A204AA"/>
    <w:rsid w:val="21A471A3"/>
    <w:rsid w:val="228B76CB"/>
    <w:rsid w:val="229769ED"/>
    <w:rsid w:val="22D95A99"/>
    <w:rsid w:val="23070D58"/>
    <w:rsid w:val="236D2509"/>
    <w:rsid w:val="2396557C"/>
    <w:rsid w:val="239B2D5F"/>
    <w:rsid w:val="24076140"/>
    <w:rsid w:val="24325DF6"/>
    <w:rsid w:val="248003D7"/>
    <w:rsid w:val="24A35355"/>
    <w:rsid w:val="24FD134D"/>
    <w:rsid w:val="25523F89"/>
    <w:rsid w:val="257E508D"/>
    <w:rsid w:val="267000E5"/>
    <w:rsid w:val="26BD7109"/>
    <w:rsid w:val="27A20D15"/>
    <w:rsid w:val="27D26F13"/>
    <w:rsid w:val="28292FE0"/>
    <w:rsid w:val="28C262C1"/>
    <w:rsid w:val="29690AB8"/>
    <w:rsid w:val="2A25233C"/>
    <w:rsid w:val="2A3C3DFB"/>
    <w:rsid w:val="2A4A0F99"/>
    <w:rsid w:val="2A4E6590"/>
    <w:rsid w:val="2AA06F27"/>
    <w:rsid w:val="2ABB2221"/>
    <w:rsid w:val="2B0350BD"/>
    <w:rsid w:val="2B1313F8"/>
    <w:rsid w:val="2B850D15"/>
    <w:rsid w:val="2D7E0564"/>
    <w:rsid w:val="2D917B7E"/>
    <w:rsid w:val="2E10742E"/>
    <w:rsid w:val="2E693948"/>
    <w:rsid w:val="2E8F7109"/>
    <w:rsid w:val="30354D1B"/>
    <w:rsid w:val="30740A80"/>
    <w:rsid w:val="30C141DC"/>
    <w:rsid w:val="313B77ED"/>
    <w:rsid w:val="31721289"/>
    <w:rsid w:val="318E4CF3"/>
    <w:rsid w:val="32062E06"/>
    <w:rsid w:val="321770E1"/>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A375F5A"/>
    <w:rsid w:val="3A727272"/>
    <w:rsid w:val="3A8576DE"/>
    <w:rsid w:val="3ACB0EBF"/>
    <w:rsid w:val="3AF34A06"/>
    <w:rsid w:val="3B743628"/>
    <w:rsid w:val="3BF73DB8"/>
    <w:rsid w:val="3C410FAA"/>
    <w:rsid w:val="3C6422EA"/>
    <w:rsid w:val="3C6A647E"/>
    <w:rsid w:val="3D1C0D2F"/>
    <w:rsid w:val="3E270AF8"/>
    <w:rsid w:val="3E6D7A4A"/>
    <w:rsid w:val="40410FF1"/>
    <w:rsid w:val="405A4EA6"/>
    <w:rsid w:val="405A7ADE"/>
    <w:rsid w:val="40E134D2"/>
    <w:rsid w:val="41135BCA"/>
    <w:rsid w:val="41A56C16"/>
    <w:rsid w:val="433F7F85"/>
    <w:rsid w:val="43641B24"/>
    <w:rsid w:val="43760F8C"/>
    <w:rsid w:val="43AA2FE8"/>
    <w:rsid w:val="43E82799"/>
    <w:rsid w:val="43ED6CF3"/>
    <w:rsid w:val="44211CD2"/>
    <w:rsid w:val="44733E68"/>
    <w:rsid w:val="44A127C2"/>
    <w:rsid w:val="44A150C4"/>
    <w:rsid w:val="451D72A4"/>
    <w:rsid w:val="456934CB"/>
    <w:rsid w:val="4581621C"/>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D99638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2A486D"/>
    <w:rsid w:val="59505348"/>
    <w:rsid w:val="595B128B"/>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B4037B"/>
    <w:rsid w:val="6BBB5F85"/>
    <w:rsid w:val="6C61682F"/>
    <w:rsid w:val="6CC02DA1"/>
    <w:rsid w:val="6CD92177"/>
    <w:rsid w:val="6D92286C"/>
    <w:rsid w:val="6E0432F2"/>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5EA1AB5"/>
    <w:rsid w:val="760715D1"/>
    <w:rsid w:val="7640122A"/>
    <w:rsid w:val="76F94044"/>
    <w:rsid w:val="77032900"/>
    <w:rsid w:val="77655489"/>
    <w:rsid w:val="7784605A"/>
    <w:rsid w:val="781253CA"/>
    <w:rsid w:val="78DF7E89"/>
    <w:rsid w:val="791710B8"/>
    <w:rsid w:val="79230470"/>
    <w:rsid w:val="79BF7995"/>
    <w:rsid w:val="7A5F56B1"/>
    <w:rsid w:val="7A836B31"/>
    <w:rsid w:val="7B75399A"/>
    <w:rsid w:val="7C4A1F7D"/>
    <w:rsid w:val="7DB05775"/>
    <w:rsid w:val="7E245C69"/>
    <w:rsid w:val="7EC91D14"/>
    <w:rsid w:val="7EDD335A"/>
    <w:rsid w:val="7F006806"/>
    <w:rsid w:val="7F7F181D"/>
    <w:rsid w:val="7FC55629"/>
    <w:rsid w:val="7FCB6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43</Pages>
  <Words>17553</Words>
  <Characters>18441</Characters>
  <Lines>278</Lines>
  <Paragraphs>78</Paragraphs>
  <TotalTime>17</TotalTime>
  <ScaleCrop>false</ScaleCrop>
  <LinksUpToDate>false</LinksUpToDate>
  <CharactersWithSpaces>19282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2022-07-14T02:07:00Z</cp:lastPrinted>
  <dcterms:modified xsi:type="dcterms:W3CDTF">2022-07-18T01:08:45Z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2052-11.1.0.11830</vt:lpwstr>
  </property>
  <property fmtid="{D5CDD505-2E9C-101B-9397-08002B2CF9AE}" pid="6" name="ICV">
    <vt:lpwstr>3E776DA3264E4508B1BE2B26757AED77</vt:lpwstr>
  </property>
</Properties>
</file>