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广信区郑坊镇钱敦村张家门至岭山背道路拓宽及硬化工程劳务工程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hint="eastAsia" w:eastAsia="黑体"/>
          <w:bCs/>
          <w:sz w:val="28"/>
          <w:szCs w:val="28"/>
          <w:u w:val="single"/>
          <w:lang w:val="en-US" w:eastAsia="zh-CN"/>
        </w:rPr>
      </w:pPr>
      <w:r>
        <w:rPr>
          <w:rFonts w:eastAsia="黑体"/>
          <w:bCs/>
          <w:sz w:val="28"/>
          <w:szCs w:val="28"/>
        </w:rPr>
        <w:t>招标编号：</w:t>
      </w:r>
      <w:r>
        <w:rPr>
          <w:rFonts w:hint="eastAsia" w:eastAsia="黑体"/>
          <w:bCs/>
          <w:sz w:val="28"/>
          <w:szCs w:val="28"/>
          <w:u w:val="single"/>
          <w:lang w:val="en-US" w:eastAsia="zh-CN"/>
        </w:rPr>
        <w:t>广信区郑坊镇钱敦村张家门至岭山背道路拓宽及硬化工程</w:t>
      </w:r>
    </w:p>
    <w:p>
      <w:pPr>
        <w:pStyle w:val="46"/>
        <w:spacing w:line="560" w:lineRule="exact"/>
        <w:ind w:left="1620" w:leftChars="100" w:hanging="1400" w:hangingChars="500"/>
        <w:jc w:val="center"/>
        <w:rPr>
          <w:rFonts w:eastAsia="黑体" w:asciiTheme="minorHAnsi" w:hAnsiTheme="minorHAnsi" w:cstheme="minorBidi"/>
          <w:bCs/>
          <w:color w:val="auto"/>
          <w:sz w:val="28"/>
          <w:szCs w:val="28"/>
          <w:u w:val="single"/>
        </w:rPr>
      </w:pPr>
      <w:r>
        <w:rPr>
          <w:rFonts w:hint="eastAsia" w:eastAsia="黑体"/>
          <w:bCs/>
          <w:sz w:val="28"/>
          <w:szCs w:val="28"/>
          <w:u w:val="single"/>
          <w:lang w:val="en-US" w:eastAsia="zh-CN"/>
        </w:rPr>
        <w:t>招字【2020】01号</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eastAsia="方正兰亭超细黑简体"/>
          <w:b/>
          <w:sz w:val="32"/>
          <w:szCs w:val="28"/>
          <w:lang w:eastAsia="zh-CN"/>
        </w:rPr>
        <w:t>〇年</w:t>
      </w:r>
      <w:r>
        <w:rPr>
          <w:rFonts w:hint="eastAsia" w:eastAsia="方正兰亭超细黑简体"/>
          <w:b/>
          <w:sz w:val="32"/>
          <w:szCs w:val="28"/>
          <w:lang w:eastAsia="zh-CN"/>
        </w:rPr>
        <w:t>八</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广信区郑坊镇钱敦村张家门至岭山背道路拓宽及硬化工程劳务工程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广信区郑坊镇钱敦村张家门至岭山背道路拓宽及硬化工程劳务工程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5512"/>
      <w:bookmarkEnd w:id="3"/>
      <w:bookmarkStart w:id="4" w:name="_Toc152042288"/>
      <w:bookmarkEnd w:id="4"/>
      <w:bookmarkStart w:id="5" w:name="_Toc17963252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广信区郑坊镇钱敦村张家门至岭山背道路拓宽及硬化工程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5513"/>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000000"/>
          <w:sz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广信区郑坊镇钱敦村张家门至岭山背道路拓宽及硬化工程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上饶市广信区</w:t>
      </w:r>
      <w:r>
        <w:rPr>
          <w:rFonts w:hint="eastAsia" w:ascii="宋体" w:hAnsi="宋体" w:cs="宋体"/>
          <w:color w:val="000000"/>
          <w:sz w:val="24"/>
          <w:u w:val="single"/>
          <w:lang w:eastAsia="zh-CN"/>
        </w:rPr>
        <w:t>郑坊镇境内</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本项目为广信区郑坊镇钱敦村张家门至岭山背道路拓宽及硬化工程。</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广信区郑坊镇钱敦村张家门至岭山背道路拓宽及硬化工程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spacing w:val="4"/>
          <w:sz w:val="24"/>
          <w:szCs w:val="24"/>
          <w:lang w:val="en-US" w:eastAsia="zh-CN"/>
        </w:rPr>
        <w:t>2.4.4保修责任：工程保修期内的缺陷修复和保养工作。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79632531"/>
      <w:bookmarkEnd w:id="12"/>
      <w:bookmarkStart w:id="13" w:name="_Toc152045515"/>
      <w:bookmarkEnd w:id="13"/>
      <w:bookmarkStart w:id="14" w:name="_Toc15204229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3.1投标人必须在上饶市交通建设投资集团有限公司劳务分包企业资源库2019年度路面专业入库企业名单内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2018年1月1日～2020年11月1日）至少完成过一个以上的同等施工业绩。业绩必须提供2种以上（含2种）能证明投标人施工经历的有关证明材料原件（中标通知书、施工合同、交工证书，结算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年度路面专业入库企业”需得到所属项目经理部的推荐信方能参与本项目的投标（在建项目有两个及以上的必须得到两个及以上项目经理部的推荐信），否则投标人的本次投标招标人不予受理及按废标处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2020</w:t>
      </w:r>
      <w:r>
        <w:rPr>
          <w:rFonts w:hint="eastAsia" w:ascii="宋体" w:hAnsi="宋体" w:eastAsia="宋体" w:cs="Arial"/>
          <w:color w:val="auto"/>
          <w:sz w:val="24"/>
          <w:lang w:eastAsia="zh-CN"/>
        </w:rPr>
        <w:t>年</w:t>
      </w:r>
      <w:r>
        <w:rPr>
          <w:rFonts w:hint="eastAsia" w:ascii="宋体" w:hAnsi="宋体" w:cs="Arial"/>
          <w:color w:val="auto"/>
          <w:sz w:val="24"/>
          <w:u w:val="single"/>
          <w:lang w:val="en-US" w:eastAsia="zh-CN"/>
        </w:rPr>
        <w:t>11</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13</w:t>
      </w:r>
      <w:r>
        <w:rPr>
          <w:rFonts w:hint="eastAsia" w:ascii="宋体" w:hAnsi="宋体" w:eastAsia="宋体" w:cs="Arial"/>
          <w:color w:val="auto"/>
          <w:sz w:val="24"/>
          <w:lang w:eastAsia="zh-CN"/>
        </w:rPr>
        <w:t>日</w:t>
      </w:r>
      <w:r>
        <w:rPr>
          <w:rFonts w:hint="eastAsia" w:ascii="宋体" w:hAnsi="宋体" w:eastAsia="宋体" w:cs="Arial"/>
          <w:color w:val="auto"/>
          <w:sz w:val="24"/>
          <w:u w:val="single"/>
          <w:lang w:eastAsia="zh-CN"/>
        </w:rPr>
        <w:t>1</w:t>
      </w:r>
      <w:r>
        <w:rPr>
          <w:rFonts w:hint="eastAsia" w:ascii="宋体" w:hAnsi="宋体" w:cs="Arial"/>
          <w:color w:val="auto"/>
          <w:sz w:val="24"/>
          <w:u w:val="single"/>
          <w:lang w:val="en-US" w:eastAsia="zh-CN"/>
        </w:rPr>
        <w:t>4</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3</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2020年11月11日至2020年11月13日15：30分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捌仟元整（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8000）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13</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15</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上饶市信州区丰溪路</w:t>
      </w:r>
      <w:r>
        <w:rPr>
          <w:rFonts w:hint="eastAsia"/>
          <w:sz w:val="24"/>
          <w:szCs w:val="24"/>
          <w:u w:val="single"/>
          <w:lang w:val="en-US" w:eastAsia="zh-CN"/>
        </w:rPr>
        <w:t>28号十楼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numPr>
          <w:ilvl w:val="0"/>
          <w:numId w:val="0"/>
        </w:numPr>
        <w:spacing w:line="500" w:lineRule="exact"/>
        <w:jc w:val="both"/>
        <w:rPr>
          <w:sz w:val="24"/>
          <w:lang w:eastAsia="zh-CN"/>
        </w:rPr>
      </w:pPr>
    </w:p>
    <w:p>
      <w:pPr>
        <w:numPr>
          <w:ilvl w:val="0"/>
          <w:numId w:val="0"/>
        </w:numPr>
        <w:spacing w:line="500" w:lineRule="exact"/>
        <w:jc w:val="both"/>
        <w:rPr>
          <w:sz w:val="24"/>
          <w:lang w:eastAsia="zh-CN"/>
        </w:rPr>
      </w:pPr>
      <w:bookmarkStart w:id="74" w:name="_GoBack"/>
      <w:bookmarkEnd w:id="74"/>
    </w:p>
    <w:p>
      <w:pPr>
        <w:numPr>
          <w:ilvl w:val="0"/>
          <w:numId w:val="0"/>
        </w:numPr>
        <w:spacing w:line="500" w:lineRule="exact"/>
        <w:jc w:val="both"/>
        <w:rPr>
          <w:sz w:val="24"/>
          <w:lang w:eastAsia="zh-CN"/>
        </w:rPr>
      </w:pPr>
      <w:r>
        <w:rPr>
          <w:sz w:val="24"/>
          <w:lang w:eastAsia="zh-CN"/>
        </w:rPr>
        <w:t xml:space="preserve">                                          </w:t>
      </w:r>
    </w:p>
    <w:p>
      <w:pPr>
        <w:spacing w:line="500" w:lineRule="exact"/>
        <w:jc w:val="right"/>
        <w:rPr>
          <w:sz w:val="24"/>
          <w:u w:val="single"/>
          <w:lang w:eastAsia="zh-CN"/>
        </w:rPr>
      </w:pPr>
    </w:p>
    <w:p>
      <w:pPr>
        <w:spacing w:line="500" w:lineRule="exact"/>
        <w:jc w:val="right"/>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val="en-US" w:eastAsia="zh-CN"/>
        </w:rPr>
        <w:t>11</w:t>
      </w:r>
      <w:r>
        <w:rPr>
          <w:sz w:val="24"/>
          <w:lang w:eastAsia="zh-CN"/>
        </w:rPr>
        <w:t>月</w:t>
      </w:r>
      <w:r>
        <w:rPr>
          <w:rFonts w:hint="eastAsia"/>
          <w:sz w:val="24"/>
          <w:u w:val="single"/>
          <w:lang w:val="en-US" w:eastAsia="zh-CN"/>
        </w:rPr>
        <w:t>11</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广信区郑坊镇钱敦村张家门至岭山背道路拓宽及硬化工程劳务工程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上饶市广信区郑坊镇境内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1</w:t>
            </w:r>
            <w:r>
              <w:rPr>
                <w:rFonts w:hint="eastAsia" w:asciiTheme="minorEastAsia" w:hAnsiTheme="minorEastAsia" w:eastAsiaTheme="minorEastAsia"/>
                <w:b w:val="0"/>
                <w:bCs w:val="0"/>
                <w:color w:val="auto"/>
                <w:sz w:val="21"/>
                <w:szCs w:val="21"/>
              </w:rPr>
              <w:t>个月（中标后，以招标人下达开工指令日期为准）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2、投标人必须在上饶市交通建设投资集团有限公司劳务分包企业资源库2019年度路面专业入库企业名单内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420233</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eastAsia="zh-CN"/>
              </w:rPr>
              <w:t>捌仟元整（</w:t>
            </w:r>
            <w:r>
              <w:rPr>
                <w:rFonts w:hint="eastAsia" w:ascii="宋体" w:hAnsi="宋体" w:eastAsia="宋体" w:cs="宋体"/>
                <w:sz w:val="21"/>
                <w:lang w:eastAsia="zh-CN"/>
              </w:rPr>
              <w:t>￥</w:t>
            </w:r>
            <w:r>
              <w:rPr>
                <w:rFonts w:hint="eastAsia" w:asciiTheme="minorEastAsia" w:hAnsiTheme="minorEastAsia"/>
                <w:sz w:val="21"/>
                <w:lang w:val="en-US" w:eastAsia="zh-CN"/>
              </w:rPr>
              <w:t>8000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eastAsiaTheme="minorEastAsia"/>
                <w:b/>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投标文件中逐页签字盖章</w:t>
            </w:r>
            <w:r>
              <w:rPr>
                <w:rFonts w:hint="eastAsia"/>
                <w:sz w:val="21"/>
                <w:lang w:eastAsia="zh-CN"/>
              </w:rPr>
              <w:t>，且在要求</w:t>
            </w:r>
            <w:r>
              <w:rPr>
                <w:rFonts w:hint="eastAsia"/>
                <w:sz w:val="21"/>
              </w:rPr>
              <w:t>签字和盖章处</w:t>
            </w:r>
            <w:r>
              <w:rPr>
                <w:rFonts w:hint="eastAsia"/>
                <w:sz w:val="21"/>
                <w:lang w:eastAsia="zh-CN"/>
              </w:rPr>
              <w:t>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成册，不得有活页或夹页。投标文件应按照规定的格式填报，否则招标人对由于投标文件装订松散、夹页、活页等</w:t>
            </w:r>
            <w:r>
              <w:rPr>
                <w:rFonts w:hint="eastAsia" w:asciiTheme="minorEastAsia" w:hAnsiTheme="minorEastAsia" w:eastAsiaTheme="minorEastAsia"/>
                <w:color w:val="auto"/>
                <w:sz w:val="21"/>
                <w:szCs w:val="21"/>
                <w:lang w:eastAsia="zh-CN"/>
              </w:rPr>
              <w:t>，</w:t>
            </w:r>
            <w:r>
              <w:rPr>
                <w:rFonts w:asciiTheme="minorEastAsia" w:hAnsiTheme="minorEastAsia" w:eastAsiaTheme="minorEastAsia"/>
                <w:color w:val="auto"/>
                <w:sz w:val="21"/>
                <w:szCs w:val="21"/>
              </w:rPr>
              <w:t xml:space="preserve">将按形式评审不予通过处理。其纸张统一规定为A4格式。文件上必须列明投标人名称，项目名称。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9._纪律和监督"/>
      <w:bookmarkEnd w:id="44"/>
      <w:bookmarkStart w:id="45" w:name="8._重新招标和不再招标"/>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附表一：开标记录表"/>
      <w:bookmarkEnd w:id="52"/>
      <w:bookmarkStart w:id="53" w:name="10._需要补充的其他内容"/>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附件六_项目经理委任书"/>
      <w:bookmarkEnd w:id="62"/>
      <w:bookmarkStart w:id="63" w:name="第一节__通用合同条款"/>
      <w:bookmarkEnd w:id="63"/>
      <w:bookmarkStart w:id="64" w:name="附件四__其他管理和技术人员最低要求"/>
      <w:bookmarkEnd w:id="64"/>
      <w:bookmarkStart w:id="65" w:name="第_五_章__工程量清单"/>
      <w:bookmarkEnd w:id="65"/>
      <w:bookmarkStart w:id="66" w:name="附件八_工程资金监管协议格式"/>
      <w:bookmarkEnd w:id="66"/>
      <w:bookmarkStart w:id="67" w:name="第三节__合同附件格式"/>
      <w:bookmarkEnd w:id="67"/>
      <w:bookmarkStart w:id="68" w:name="附件一_合同协议书"/>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A、通用技术规范"/>
      <w:bookmarkEnd w:id="69"/>
      <w:bookmarkStart w:id="70" w:name="C、项目专用技术规范"/>
      <w:bookmarkEnd w:id="70"/>
      <w:bookmarkStart w:id="71" w:name="第九章投标文件格式"/>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u w:val="single"/>
          <w:lang w:val="en-US" w:eastAsia="zh-CN"/>
        </w:rPr>
        <w:t>XXXXXX</w:t>
      </w:r>
      <w:r>
        <w:rPr>
          <w:rFonts w:hint="eastAsia"/>
          <w:sz w:val="24"/>
          <w:szCs w:val="24"/>
          <w:lang w:val="en-US" w:eastAsia="zh-CN"/>
        </w:rPr>
        <w:t>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eastAsia="zh-CN"/>
        </w:rPr>
        <w:t>详</w:t>
      </w:r>
      <w:r>
        <w:rPr>
          <w:rFonts w:ascii="宋体" w:hAnsi="宋体" w:eastAsia="宋体" w:cs="Times New Roman"/>
          <w:color w:val="auto"/>
          <w:sz w:val="24"/>
          <w:szCs w:val="24"/>
          <w:lang w:eastAsia="zh-CN"/>
        </w:rPr>
        <w:t>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路面专业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路面专业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2、若</w:t>
      </w:r>
      <w:r>
        <w:rPr>
          <w:rFonts w:hint="eastAsia" w:ascii="宋体" w:hAnsi="宋体" w:eastAsia="宋体" w:cs="Times New Roman"/>
          <w:color w:val="auto"/>
          <w:sz w:val="24"/>
          <w:szCs w:val="24"/>
          <w:lang w:eastAsia="zh-CN"/>
        </w:rPr>
        <w:t>我方连续两个月无法完成计划任务的80％，贵方有权将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给其他施工队伍实施，分割单价按与我方单价上浮10%确定</w:t>
      </w:r>
      <w:r>
        <w:rPr>
          <w:rFonts w:hint="eastAsia" w:ascii="宋体" w:hAnsi="宋体" w:eastAsia="宋体" w:cs="Times New Roman"/>
          <w:color w:val="auto"/>
          <w:sz w:val="24"/>
          <w:szCs w:val="24"/>
          <w:lang w:eastAsia="zh-CN"/>
        </w:rPr>
        <w:t>，由此增加的费用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（营业执照、资质证书、安全生产许可证等）</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兰亭超细黑简体">
    <w:panose1 w:val="02000000000000000000"/>
    <w:charset w:val="86"/>
    <w:family w:val="auto"/>
    <w:pitch w:val="default"/>
    <w:sig w:usb0="00000001" w:usb1="08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Dotum">
    <w:altName w:val="Malgun Gothic"/>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A7120F5"/>
    <w:rsid w:val="0B9C152A"/>
    <w:rsid w:val="0BDF6A71"/>
    <w:rsid w:val="0C78399E"/>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CD3763A"/>
    <w:rsid w:val="1D1923C0"/>
    <w:rsid w:val="1D207A8A"/>
    <w:rsid w:val="1D52082B"/>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7000E5"/>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13B77ED"/>
    <w:rsid w:val="31721289"/>
    <w:rsid w:val="318E4CF3"/>
    <w:rsid w:val="32062E06"/>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7A1E79"/>
    <w:rsid w:val="7784605A"/>
    <w:rsid w:val="781253CA"/>
    <w:rsid w:val="78DF7E89"/>
    <w:rsid w:val="78EC629D"/>
    <w:rsid w:val="79230470"/>
    <w:rsid w:val="79BF7995"/>
    <w:rsid w:val="7A5F56B1"/>
    <w:rsid w:val="7A836B31"/>
    <w:rsid w:val="7B75399A"/>
    <w:rsid w:val="7C4A1F7D"/>
    <w:rsid w:val="7D1F5706"/>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2</TotalTime>
  <ScaleCrop>false</ScaleCrop>
  <LinksUpToDate>false</LinksUpToDate>
  <CharactersWithSpaces>39257</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周周</cp:lastModifiedBy>
  <cp:lastPrinted>2020-08-11T11:38:00Z</cp:lastPrinted>
  <dcterms:modified xsi:type="dcterms:W3CDTF">2020-11-11T08:37:41Z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2052-11.1.0.9827</vt:lpwstr>
  </property>
</Properties>
</file>